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172</w:t>
      </w:r>
    </w:p>
    <w:p>
      <w:r>
        <w:t>Bundesgericht (BGE), 1969-12-19, DE</w:t>
      </w:r>
    </w:p>
    <w:p>
      <w:r>
        <w:rPr>
          <w:b/>
        </w:rPr>
        <w:t xml:space="preserve">Quelle: </w:t>
      </w:r>
      <w:r>
        <w:t>https://mcp.opencaselaw.ch/entscheid/bge_95 IV 172</w:t>
      </w:r>
    </w:p>
    <w:p>
      <w:r>
        <w:t>FR: ATF 95 IV 172</w:t>
      </w:r>
    </w:p>
    <w:p>
      <w:r>
        <w:t>IT: DTF 95 IV 172</w:t>
      </w:r>
    </w:p>
    <w:p>
      <w:pPr>
        <w:pStyle w:val="Heading2"/>
      </w:pPr>
      <w:r>
        <w:t>Regeste</w:t>
      </w:r>
    </w:p>
    <w:p>
      <w:r>
        <w:t>Regeste Art. 32 SVG bietet keine Rechtsgrundlage für polizeiliche Eingriffe in verfassungsmässige Rechte.</w:t>
      </w:r>
    </w:p>
    <w:p>
      <w:pPr>
        <w:pStyle w:val="Heading2"/>
      </w:pPr>
      <w:r>
        <w:t>Erwägungen</w:t>
      </w:r>
    </w:p>
    <w:p>
      <w:r>
        <w:rPr>
          <w:b/>
        </w:rPr>
        <w:t>E. 2</w:t>
      </w:r>
    </w:p>
    <w:p>
      <w:r>
        <w:t>Das Obergericht hat die Amtshandlung, deren Hinderung dem Beschwerdeführer im angefochtenen Urteil zur Last gelegt wird, als rechtmässig bezeichnet und sich dabei auf Art. 32 SVG und auf die polizeiliche Generalklausel bezogen. Wenn Art. 286 StGB die materielle Rechtmässigkeit der gehinderten Amtshandlung voraussetzte, was nicht der Fall ist (s. unten, Ziff. 3), wäre hierzu folgendes zu bemerken. a) Art. 32 Abs. 2-5 SVG schreibt Höchstgeschwindigkeiten vor und ermöglicht weitere Geschwindigkeitsbeschränkungen. Den Kantonen ist es anheimgestellt, ob und mit welchen Mitteln sie die Einhaltung dieser Geschwindigkeiten kontrollieren. Hingegen enthält Art. 32 weder nach dem Wortlaut noch nach Entstehungsgeschichte, angestrebtem Zweck oder seinem wirklichen Sinn auch die Ermächtigung an kantonale Subalternbeamte, ohne weitere gesetzliche Erlasse direkt in geschützte Persönlichkeitsrechte einzugreifen. Das SVG gibt keine Rechtsgrundlage für eine solche Polizeiherrschaft. Bei dessen Schaffung ist denn auch für einen allgemein als nötig erachteten Eingriff in die persönliche Integrität, für die Blutprobe beim Verdacht der Angetrunkenheit eines Motorfahrzeugführers, bewusst eine besondere Bestimmung aufgestellt worden. Nach der Argumentation der Vorinstanz wäre dies völlig überflüssig, denn wenn die Polizei darüber zu wachen hat, dass keine Betrunkenen ihren Wagen herumführen, so wäre sie implicite auch berechtigt,die hiefür erforderlichen Kontrollmassnahmen ohne Respektierung der verfassungsmässigen Rechte zu treffen. b) Die Frage der polizeilichen Generalklausel ist hier nicht eine bundesrechtliche im Sinne von Art. 269 Abs. 1 BStP . Die mit der Radarkontrolle beauftragten Kantonspolizisten handelten nicht als Hilfsorgane der Bundespolizei oder einer anderen Bundesbehörde, sondern im Rahmen der gemäss Art. 106 Abs. 2 SVG (unter dem hier nicht zutreffenden Vorbehalt von Abs. 1) kantonalrechtlichen Durchführung des Strassenverkehrsgesetzes. Insoweit wäre also gemäss Art. 269 Abs. 2 BStP und Art. 84 Abs. 1 lit. a OG nicht der Kassationshof, BGE 95 IV 172 S. 175 sondern die staatsrechtliche Kammer des Bundesgerichts (nach Ausschöpfung der kantonalen Rechtsmittel) zuständig.</w:t>
      </w:r>
    </w:p>
    <w:p>
      <w:r>
        <w:rPr>
          <w:b/>
        </w:rPr>
        <w:t>E. 3</w:t>
      </w:r>
    </w:p>
    <w:p>
      <w:r>
        <w:t>Die Frage der materiellen Rechtmässigkeit der Amtshandlung stellt sich aber nach der Rechtsprechung des Kassationshofes bei der Anwendung von Art. 286 StGB überhaupt nicht. Nach Art. 286 wird bestraft, wer eine Behörde oder einen Beamten an einer Handlung hindert, die innerhalb ihrer Amtsbefugnisse liegt. Innerhalb der Amtsbefugnisse liegt die Handlung nach dieser wie nach der insoweit gleichlautenden Bestimmung des Art. 285 dann, wenn die Behörde oder der Beamte zu ihrer Vornahme zuständig ist ( BGE 74 IV 61 Erw. 3, BGE 78 IV 118 und seitherige Rechtsprechung). Ist das der Fall, hat sich der Betroffene ihr zu unterziehen, jedenfalls dann, wenn ihre Rechtswidrigkeit nicht ganz offensichtlich ist, was im vorliegenden Fall nicht zutrifft. Vorbehalten bleiben ihm die gesetzlichen Rechtsmittel, insbesondere die Beschwerde, zur Anfechtung ihrer Rechtmässigkeit, ferner allenfalls die Verantwortlichkeitsklage gegen den Beamten und den Staat. Dagegen steht es ihm nach der angeführten Rechtsprechung nicht zu, sich der von einer zuständigen Amtsstelle vorgenommenen Handlung durch Gewalt oder durch Drohung zu widersetzen oder sie sonstwie zu hindern. Im vorliegenden Fall waren die beiden Polizeibeamten zur durchgeführten Geschwindigkeitskontrolle zuständig und sie haben unbestrittenermassen auch im Rahmen der Verfahrensvorschriften gehandelt, waren sie doch vom Polizeikommando mit der Massnahme beauftragt. Auf die Frage, ob die Polizisten berechtigt waren, für die Geschwindigkeitsmessungen den Boden der Baugesellschaft Moosacker in Anspruch zu nehmen,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